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7" w:rsidRDefault="00826797" w:rsidP="004F4C46">
      <w:pPr>
        <w:pStyle w:val="Legenda"/>
      </w:pPr>
    </w:p>
    <w:p w:rsidR="00826797" w:rsidRDefault="00826797" w:rsidP="004F4C46">
      <w:pPr>
        <w:pStyle w:val="Legenda"/>
      </w:pPr>
    </w:p>
    <w:p w:rsidR="003915D5" w:rsidRDefault="003915D5" w:rsidP="004F4C46">
      <w:pPr>
        <w:pStyle w:val="Legenda"/>
      </w:pPr>
      <w:r w:rsidRPr="00775F0C">
        <w:t xml:space="preserve">Tabela </w:t>
      </w:r>
      <w:fldSimple w:instr=" SEQ Tabela \* ARABIC ">
        <w:r w:rsidR="00775F0C" w:rsidRPr="00775F0C">
          <w:rPr>
            <w:noProof/>
          </w:rPr>
          <w:t>1</w:t>
        </w:r>
      </w:fldSimple>
      <w:r w:rsidRPr="00775F0C">
        <w:t xml:space="preserve"> Elementy podlegające monitoringowi</w:t>
      </w:r>
    </w:p>
    <w:p w:rsidR="00826797" w:rsidRPr="00826797" w:rsidRDefault="00826797" w:rsidP="00826797"/>
    <w:tbl>
      <w:tblPr>
        <w:tblStyle w:val="Tabela-Siatka"/>
        <w:tblW w:w="15026" w:type="dxa"/>
        <w:jc w:val="center"/>
        <w:tblLayout w:type="fixed"/>
        <w:tblLook w:val="04A0"/>
      </w:tblPr>
      <w:tblGrid>
        <w:gridCol w:w="2547"/>
        <w:gridCol w:w="1559"/>
        <w:gridCol w:w="3402"/>
        <w:gridCol w:w="1559"/>
        <w:gridCol w:w="5959"/>
      </w:tblGrid>
      <w:tr w:rsidR="003915D5" w:rsidRPr="00775F0C" w:rsidTr="007D4D2F">
        <w:trPr>
          <w:trHeight w:val="824"/>
          <w:jc w:val="center"/>
        </w:trPr>
        <w:tc>
          <w:tcPr>
            <w:tcW w:w="2547" w:type="dxa"/>
            <w:shd w:val="clear" w:color="auto" w:fill="E5B8B7" w:themeFill="accent2" w:themeFillTint="66"/>
            <w:vAlign w:val="center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Elementy poddane badaniu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Wykonawca badania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 xml:space="preserve">Źródła danych </w:t>
            </w:r>
            <w:r w:rsidRPr="00775F0C">
              <w:rPr>
                <w:rFonts w:cs="Times New Roman"/>
                <w:b/>
                <w:sz w:val="21"/>
                <w:szCs w:val="21"/>
              </w:rPr>
              <w:br/>
              <w:t>i metody ich zbierania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Czas i okres dokonywania pomiaru</w:t>
            </w:r>
          </w:p>
        </w:tc>
        <w:tc>
          <w:tcPr>
            <w:tcW w:w="5959" w:type="dxa"/>
            <w:shd w:val="clear" w:color="auto" w:fill="E5B8B7" w:themeFill="accent2" w:themeFillTint="66"/>
            <w:vAlign w:val="center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Analiza i ocena danych</w:t>
            </w:r>
          </w:p>
        </w:tc>
      </w:tr>
      <w:tr w:rsidR="003915D5" w:rsidRPr="00775F0C" w:rsidTr="00F46890">
        <w:trPr>
          <w:trHeight w:val="325"/>
          <w:jc w:val="center"/>
        </w:trPr>
        <w:tc>
          <w:tcPr>
            <w:tcW w:w="2547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Wskaźniki realizacji LSR.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Biuro LGD (ocena własna).</w:t>
            </w:r>
          </w:p>
        </w:tc>
        <w:tc>
          <w:tcPr>
            <w:tcW w:w="3402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Sprawozdania beneficjentów, ankiety beneficjentów, rejestr danych LGD.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Na bieżąco</w:t>
            </w:r>
          </w:p>
        </w:tc>
        <w:tc>
          <w:tcPr>
            <w:tcW w:w="59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Stopień realizacji wskaźnika.</w:t>
            </w:r>
          </w:p>
        </w:tc>
      </w:tr>
      <w:tr w:rsidR="003915D5" w:rsidRPr="00775F0C" w:rsidTr="00775F0C">
        <w:trPr>
          <w:trHeight w:val="450"/>
          <w:jc w:val="center"/>
        </w:trPr>
        <w:tc>
          <w:tcPr>
            <w:tcW w:w="2547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Harmonogram ogłaszanych konkursów.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Biuro LGD (ocena własna).</w:t>
            </w:r>
          </w:p>
        </w:tc>
        <w:tc>
          <w:tcPr>
            <w:tcW w:w="3402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Rejestr ogłoszonych konkursów.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Na bieżąco</w:t>
            </w:r>
          </w:p>
        </w:tc>
        <w:tc>
          <w:tcPr>
            <w:tcW w:w="59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Zgodność ogłaszania konkursów z harmonogramem konkursów LSR, ocena stopnia realizacji zadań wdrażanych w ramach LSR.</w:t>
            </w:r>
          </w:p>
        </w:tc>
      </w:tr>
      <w:tr w:rsidR="003915D5" w:rsidRPr="00775F0C" w:rsidTr="00F46890">
        <w:trPr>
          <w:trHeight w:val="397"/>
          <w:jc w:val="center"/>
        </w:trPr>
        <w:tc>
          <w:tcPr>
            <w:tcW w:w="2547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Budżet LGD.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Biuro LGD (ocena własna).</w:t>
            </w:r>
          </w:p>
        </w:tc>
        <w:tc>
          <w:tcPr>
            <w:tcW w:w="3402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Rejestr danych.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Na bieżąco</w:t>
            </w:r>
          </w:p>
        </w:tc>
        <w:tc>
          <w:tcPr>
            <w:tcW w:w="59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Stopień wykorzystania środków finansowych w odniesieniu do środków zakontraktowanych.</w:t>
            </w:r>
          </w:p>
        </w:tc>
      </w:tr>
      <w:tr w:rsidR="003915D5" w:rsidRPr="00775F0C" w:rsidTr="00F46890">
        <w:trPr>
          <w:trHeight w:val="616"/>
          <w:jc w:val="center"/>
        </w:trPr>
        <w:tc>
          <w:tcPr>
            <w:tcW w:w="2547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Zainteresowanie stroną internetową LGD.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Pracownicy LGD (ocena własna).</w:t>
            </w:r>
          </w:p>
        </w:tc>
        <w:tc>
          <w:tcPr>
            <w:tcW w:w="3402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Licznik odwiedzin strony internetowej, dane od administratora strony internetowej.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Na bieżąco</w:t>
            </w:r>
          </w:p>
        </w:tc>
        <w:tc>
          <w:tcPr>
            <w:tcW w:w="59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Skuteczność przekazywania/ uzyskiwania informacji na temat działalności LGD.</w:t>
            </w:r>
          </w:p>
        </w:tc>
      </w:tr>
      <w:tr w:rsidR="003915D5" w:rsidRPr="00775F0C" w:rsidTr="00775F0C">
        <w:trPr>
          <w:trHeight w:val="728"/>
          <w:jc w:val="center"/>
        </w:trPr>
        <w:tc>
          <w:tcPr>
            <w:tcW w:w="2547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Pracownicy Biura LGD, funkcjonowanie Biura Zarządu</w:t>
            </w:r>
            <w:r w:rsidR="00F46890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Zarząd LGD.</w:t>
            </w:r>
          </w:p>
        </w:tc>
        <w:tc>
          <w:tcPr>
            <w:tcW w:w="3402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Anonimowe ankiety.</w:t>
            </w:r>
          </w:p>
        </w:tc>
        <w:tc>
          <w:tcPr>
            <w:tcW w:w="1559" w:type="dxa"/>
          </w:tcPr>
          <w:p w:rsidR="003915D5" w:rsidRPr="00775F0C" w:rsidRDefault="003915D5" w:rsidP="00F46890">
            <w:pPr>
              <w:spacing w:after="40" w:line="240" w:lineRule="auto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Na bieżąco</w:t>
            </w:r>
          </w:p>
        </w:tc>
        <w:tc>
          <w:tcPr>
            <w:tcW w:w="5959" w:type="dxa"/>
          </w:tcPr>
          <w:p w:rsidR="003915D5" w:rsidRPr="00775F0C" w:rsidRDefault="003915D5" w:rsidP="00F46890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Ocena pracy pracowników, sposób przekazywania istotnych informacji potencjalnym beneficjentom, pomoc w rozwiązywaniu problemów, efektywność świadczonego doradztwa.</w:t>
            </w:r>
          </w:p>
        </w:tc>
      </w:tr>
    </w:tbl>
    <w:p w:rsidR="00775F0C" w:rsidRPr="00775F0C" w:rsidRDefault="00775F0C" w:rsidP="004F4C46">
      <w:pPr>
        <w:pStyle w:val="Legenda"/>
      </w:pPr>
      <w:bookmarkStart w:id="0" w:name="_GoBack"/>
      <w:bookmarkEnd w:id="0"/>
    </w:p>
    <w:p w:rsidR="00826797" w:rsidRDefault="00826797" w:rsidP="004F4C46">
      <w:pPr>
        <w:pStyle w:val="Legenda"/>
      </w:pPr>
      <w:r>
        <w:t xml:space="preserve"> </w:t>
      </w:r>
    </w:p>
    <w:p w:rsidR="00826797" w:rsidRDefault="00826797" w:rsidP="004F4C46">
      <w:pPr>
        <w:pStyle w:val="Legenda"/>
      </w:pPr>
    </w:p>
    <w:p w:rsidR="00826797" w:rsidRDefault="00826797" w:rsidP="004F4C46">
      <w:pPr>
        <w:pStyle w:val="Legenda"/>
      </w:pPr>
    </w:p>
    <w:p w:rsidR="00826797" w:rsidRDefault="00826797" w:rsidP="004F4C46">
      <w:pPr>
        <w:pStyle w:val="Legenda"/>
      </w:pPr>
    </w:p>
    <w:p w:rsidR="00826797" w:rsidRDefault="00826797" w:rsidP="004F4C46">
      <w:pPr>
        <w:pStyle w:val="Legenda"/>
      </w:pPr>
    </w:p>
    <w:p w:rsidR="00826797" w:rsidRDefault="00826797" w:rsidP="00826797">
      <w:pPr>
        <w:pStyle w:val="Legenda"/>
        <w:tabs>
          <w:tab w:val="left" w:pos="5025"/>
        </w:tabs>
        <w:jc w:val="both"/>
      </w:pPr>
      <w:r>
        <w:tab/>
      </w:r>
    </w:p>
    <w:p w:rsidR="00826797" w:rsidRDefault="00826797" w:rsidP="004F4C46">
      <w:pPr>
        <w:pStyle w:val="Legenda"/>
      </w:pPr>
    </w:p>
    <w:p w:rsidR="00826797" w:rsidRDefault="00826797" w:rsidP="004F4C46">
      <w:pPr>
        <w:pStyle w:val="Legenda"/>
      </w:pPr>
    </w:p>
    <w:p w:rsidR="00826797" w:rsidRDefault="00826797" w:rsidP="004F4C46">
      <w:pPr>
        <w:pStyle w:val="Legenda"/>
      </w:pPr>
    </w:p>
    <w:p w:rsidR="00826797" w:rsidRDefault="00826797" w:rsidP="00826797">
      <w:pPr>
        <w:pStyle w:val="Legenda"/>
      </w:pPr>
    </w:p>
    <w:p w:rsidR="00826797" w:rsidRPr="00826797" w:rsidRDefault="00826797" w:rsidP="00826797"/>
    <w:p w:rsidR="00826797" w:rsidRDefault="00826797" w:rsidP="00826797"/>
    <w:p w:rsidR="00826797" w:rsidRDefault="00826797" w:rsidP="00826797">
      <w:pPr>
        <w:pStyle w:val="Legenda"/>
      </w:pPr>
      <w:r w:rsidRPr="004F4C46">
        <w:t xml:space="preserve">Tabela </w:t>
      </w:r>
      <w:fldSimple w:instr=" SEQ Tabela \* ARABIC ">
        <w:r w:rsidRPr="004F4C46">
          <w:rPr>
            <w:noProof/>
          </w:rPr>
          <w:t>2</w:t>
        </w:r>
      </w:fldSimple>
      <w:r w:rsidRPr="004F4C46">
        <w:t xml:space="preserve"> Elementy podlegające ewaluacji</w:t>
      </w:r>
    </w:p>
    <w:p w:rsidR="00826797" w:rsidRPr="00826797" w:rsidRDefault="00826797" w:rsidP="00826797"/>
    <w:p w:rsidR="00826797" w:rsidRPr="00826797" w:rsidRDefault="00826797" w:rsidP="00826797"/>
    <w:tbl>
      <w:tblPr>
        <w:tblStyle w:val="Tabela-Siatka"/>
        <w:tblW w:w="15026" w:type="dxa"/>
        <w:jc w:val="center"/>
        <w:tblLook w:val="04A0"/>
      </w:tblPr>
      <w:tblGrid>
        <w:gridCol w:w="2122"/>
        <w:gridCol w:w="1559"/>
        <w:gridCol w:w="3827"/>
        <w:gridCol w:w="3544"/>
        <w:gridCol w:w="3974"/>
      </w:tblGrid>
      <w:tr w:rsidR="003915D5" w:rsidRPr="00775F0C" w:rsidTr="007D4D2F">
        <w:trPr>
          <w:trHeight w:val="543"/>
          <w:jc w:val="center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:rsidR="003915D5" w:rsidRPr="00775F0C" w:rsidRDefault="003915D5" w:rsidP="004F4C46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Elementy poddane badaniu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3915D5" w:rsidRPr="00775F0C" w:rsidRDefault="003915D5" w:rsidP="004F4C46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Wykonawca badania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3915D5" w:rsidRPr="00775F0C" w:rsidRDefault="003915D5" w:rsidP="004F4C46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Źródła danych i metody ich zbierania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</w:tcPr>
          <w:p w:rsidR="003915D5" w:rsidRPr="00775F0C" w:rsidRDefault="003915D5" w:rsidP="004F4C46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Czas i okres dokonywania pomiaru</w:t>
            </w:r>
          </w:p>
        </w:tc>
        <w:tc>
          <w:tcPr>
            <w:tcW w:w="3974" w:type="dxa"/>
            <w:shd w:val="clear" w:color="auto" w:fill="E5B8B7" w:themeFill="accent2" w:themeFillTint="66"/>
            <w:vAlign w:val="center"/>
          </w:tcPr>
          <w:p w:rsidR="003915D5" w:rsidRPr="00775F0C" w:rsidRDefault="003915D5" w:rsidP="004F4C46">
            <w:pPr>
              <w:spacing w:after="4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775F0C">
              <w:rPr>
                <w:rFonts w:cs="Times New Roman"/>
                <w:b/>
                <w:sz w:val="21"/>
                <w:szCs w:val="21"/>
              </w:rPr>
              <w:t>Analiza i ocena danych</w:t>
            </w:r>
          </w:p>
        </w:tc>
      </w:tr>
      <w:tr w:rsidR="00775F0C" w:rsidRPr="00775F0C" w:rsidTr="00775F0C">
        <w:trPr>
          <w:trHeight w:val="760"/>
          <w:jc w:val="center"/>
        </w:trPr>
        <w:tc>
          <w:tcPr>
            <w:tcW w:w="2122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Działalność LGD, pracownicy </w:t>
            </w:r>
            <w:r w:rsidRPr="00775F0C">
              <w:rPr>
                <w:rFonts w:cs="Times New Roman"/>
                <w:sz w:val="21"/>
                <w:szCs w:val="21"/>
              </w:rPr>
              <w:br/>
              <w:t>i funkcjonowanie biura.</w:t>
            </w:r>
          </w:p>
        </w:tc>
        <w:tc>
          <w:tcPr>
            <w:tcW w:w="1559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Biuro LGD (ocena własna).</w:t>
            </w:r>
          </w:p>
        </w:tc>
        <w:tc>
          <w:tcPr>
            <w:tcW w:w="3827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Badania ankietowe, opinie beneficjentów, rozmowy z mieszkańcami na otwartych spotkaniach, wywiady z wnioskodawcami, opinie dyrektora i członków Stowarzyszenia.</w:t>
            </w:r>
          </w:p>
        </w:tc>
        <w:tc>
          <w:tcPr>
            <w:tcW w:w="354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Ocena roczna w latach 2016–2022, dokonywana w pierwszym kwartale roku kolejnego, z wyłączeniem </w:t>
            </w:r>
            <w:r w:rsidR="006A06DB" w:rsidRPr="00775F0C">
              <w:rPr>
                <w:rFonts w:cs="Times New Roman"/>
                <w:sz w:val="21"/>
                <w:szCs w:val="21"/>
              </w:rPr>
              <w:t>roku, 2023 gdy</w:t>
            </w:r>
            <w:r w:rsidRPr="00775F0C">
              <w:rPr>
                <w:rFonts w:cs="Times New Roman"/>
                <w:sz w:val="21"/>
                <w:szCs w:val="21"/>
              </w:rPr>
              <w:t xml:space="preserve"> wykonywana na dzień 30 czerwca.</w:t>
            </w:r>
          </w:p>
        </w:tc>
        <w:tc>
          <w:tcPr>
            <w:tcW w:w="397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Ocena poprawności działalności prowadzonej przez Stowarzyszenie, określająca skuteczność realizowanych zadań w odniesieniu do założeń LSR.</w:t>
            </w:r>
          </w:p>
        </w:tc>
      </w:tr>
      <w:tr w:rsidR="00775F0C" w:rsidRPr="00775F0C" w:rsidTr="00775F0C">
        <w:trPr>
          <w:trHeight w:val="755"/>
          <w:jc w:val="center"/>
        </w:trPr>
        <w:tc>
          <w:tcPr>
            <w:tcW w:w="2122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Skuteczność promocji </w:t>
            </w:r>
            <w:r w:rsidRPr="00775F0C">
              <w:rPr>
                <w:rFonts w:cs="Times New Roman"/>
                <w:sz w:val="21"/>
                <w:szCs w:val="21"/>
              </w:rPr>
              <w:br/>
              <w:t>i aktywizacji społeczności lokalnej.</w:t>
            </w:r>
          </w:p>
        </w:tc>
        <w:tc>
          <w:tcPr>
            <w:tcW w:w="1559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Biuro LGD (ocena własna).</w:t>
            </w:r>
          </w:p>
        </w:tc>
        <w:tc>
          <w:tcPr>
            <w:tcW w:w="3827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Badania ankietowe wśród mieszkańców, prowadzone bezpośrednio, za pośrednictwem strony internetowej Stowarzyszenia. </w:t>
            </w:r>
          </w:p>
        </w:tc>
        <w:tc>
          <w:tcPr>
            <w:tcW w:w="354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Ocena roczna w latach 2016–2022, dokonywana w pierwszym kwartale roku kolejnego, z wyłączeniem </w:t>
            </w:r>
            <w:r w:rsidR="006A06DB" w:rsidRPr="00775F0C">
              <w:rPr>
                <w:rFonts w:cs="Times New Roman"/>
                <w:sz w:val="21"/>
                <w:szCs w:val="21"/>
              </w:rPr>
              <w:t>roku, 2023 gdy</w:t>
            </w:r>
            <w:r w:rsidRPr="00775F0C">
              <w:rPr>
                <w:rFonts w:cs="Times New Roman"/>
                <w:sz w:val="21"/>
                <w:szCs w:val="21"/>
              </w:rPr>
              <w:t xml:space="preserve"> wykonywana na dzień 30 czerwca.</w:t>
            </w:r>
          </w:p>
        </w:tc>
        <w:tc>
          <w:tcPr>
            <w:tcW w:w="397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Ocena skuteczności promocji LGD oraz działań wdrażanych w ramach LSR, </w:t>
            </w:r>
            <w:r w:rsidR="006A06DB" w:rsidRPr="00775F0C">
              <w:rPr>
                <w:rFonts w:cs="Times New Roman"/>
                <w:sz w:val="21"/>
                <w:szCs w:val="21"/>
              </w:rPr>
              <w:t>mierzona, jako</w:t>
            </w:r>
            <w:r w:rsidRPr="00775F0C">
              <w:rPr>
                <w:rFonts w:cs="Times New Roman"/>
                <w:sz w:val="21"/>
                <w:szCs w:val="21"/>
              </w:rPr>
              <w:t xml:space="preserve"> liczba osób, które uzyskały informację na temat LGD oraz skuteczność animacji społeczności.</w:t>
            </w:r>
          </w:p>
        </w:tc>
      </w:tr>
      <w:tr w:rsidR="00775F0C" w:rsidRPr="00775F0C" w:rsidTr="00775F0C">
        <w:trPr>
          <w:trHeight w:val="755"/>
          <w:jc w:val="center"/>
        </w:trPr>
        <w:tc>
          <w:tcPr>
            <w:tcW w:w="2122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lastRenderedPageBreak/>
              <w:t>Stopień realizacji celów LSR – stopień realizacji wskaźników.</w:t>
            </w:r>
          </w:p>
        </w:tc>
        <w:tc>
          <w:tcPr>
            <w:tcW w:w="1559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Podmiot niezwiązany</w:t>
            </w:r>
            <w:r w:rsidRPr="00775F0C">
              <w:rPr>
                <w:rFonts w:cs="Times New Roman"/>
                <w:sz w:val="21"/>
                <w:szCs w:val="21"/>
              </w:rPr>
              <w:br/>
              <w:t>z LGD (ocena zewnętrzna).</w:t>
            </w:r>
          </w:p>
        </w:tc>
        <w:tc>
          <w:tcPr>
            <w:tcW w:w="3827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Ankiety beneficjentów, sprawozdania beneficjentów, rejestr danych LGD.</w:t>
            </w:r>
          </w:p>
        </w:tc>
        <w:tc>
          <w:tcPr>
            <w:tcW w:w="354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Ocena dwuletnia, dokonywana </w:t>
            </w:r>
            <w:r w:rsidRPr="00775F0C">
              <w:rPr>
                <w:rFonts w:cs="Times New Roman"/>
                <w:sz w:val="21"/>
                <w:szCs w:val="21"/>
              </w:rPr>
              <w:br/>
              <w:t xml:space="preserve">w pierwszym kwartale roku kolejnego, z wyłączeniem </w:t>
            </w:r>
            <w:r w:rsidR="006A06DB" w:rsidRPr="00775F0C">
              <w:rPr>
                <w:rFonts w:cs="Times New Roman"/>
                <w:sz w:val="21"/>
                <w:szCs w:val="21"/>
              </w:rPr>
              <w:t>roku, 2023 gdy</w:t>
            </w:r>
            <w:r w:rsidRPr="00775F0C">
              <w:rPr>
                <w:rFonts w:cs="Times New Roman"/>
                <w:sz w:val="21"/>
                <w:szCs w:val="21"/>
              </w:rPr>
              <w:t xml:space="preserve"> wykonywana na dzień 30 czerwca.</w:t>
            </w:r>
          </w:p>
        </w:tc>
        <w:tc>
          <w:tcPr>
            <w:tcW w:w="397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Ocena celowości i trafności założeń realizowanych w ramach LSR. Określenie stopnia realizacji poszczególnych celów.</w:t>
            </w:r>
          </w:p>
        </w:tc>
      </w:tr>
      <w:tr w:rsidR="00775F0C" w:rsidRPr="00775F0C" w:rsidTr="00775F0C">
        <w:trPr>
          <w:trHeight w:val="755"/>
          <w:jc w:val="center"/>
        </w:trPr>
        <w:tc>
          <w:tcPr>
            <w:tcW w:w="2122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Harmonogram rzeczowo-finansowy LSR.</w:t>
            </w:r>
          </w:p>
        </w:tc>
        <w:tc>
          <w:tcPr>
            <w:tcW w:w="1559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Biuro LGD (ocena własna).</w:t>
            </w:r>
          </w:p>
        </w:tc>
        <w:tc>
          <w:tcPr>
            <w:tcW w:w="3827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Rejestr danych. </w:t>
            </w:r>
          </w:p>
        </w:tc>
        <w:tc>
          <w:tcPr>
            <w:tcW w:w="354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Raz na kwartał. Ostatnia wykonywana w październiku 2023 roku.</w:t>
            </w:r>
          </w:p>
        </w:tc>
        <w:tc>
          <w:tcPr>
            <w:tcW w:w="397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Ocena zgodności ogłaszanych </w:t>
            </w:r>
            <w:r w:rsidR="00775F0C">
              <w:rPr>
                <w:rFonts w:cs="Times New Roman"/>
                <w:sz w:val="21"/>
                <w:szCs w:val="21"/>
              </w:rPr>
              <w:br/>
            </w:r>
            <w:r w:rsidRPr="00775F0C">
              <w:rPr>
                <w:rFonts w:cs="Times New Roman"/>
                <w:sz w:val="21"/>
                <w:szCs w:val="21"/>
              </w:rPr>
              <w:t>i realizowanych projektów z harmonogramem określonym w LSR.</w:t>
            </w:r>
          </w:p>
        </w:tc>
      </w:tr>
      <w:tr w:rsidR="00775F0C" w:rsidRPr="00775F0C" w:rsidTr="00775F0C">
        <w:trPr>
          <w:trHeight w:val="755"/>
          <w:jc w:val="center"/>
        </w:trPr>
        <w:tc>
          <w:tcPr>
            <w:tcW w:w="2122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Budżet LSR.</w:t>
            </w:r>
          </w:p>
        </w:tc>
        <w:tc>
          <w:tcPr>
            <w:tcW w:w="1559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Biuro LGD (ocena własna).</w:t>
            </w:r>
          </w:p>
        </w:tc>
        <w:tc>
          <w:tcPr>
            <w:tcW w:w="3827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Rejestr danych. </w:t>
            </w:r>
          </w:p>
        </w:tc>
        <w:tc>
          <w:tcPr>
            <w:tcW w:w="354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>Raz na miesiąc. Ostatnia wykonywana w grudniu 2023 roku.</w:t>
            </w:r>
          </w:p>
        </w:tc>
        <w:tc>
          <w:tcPr>
            <w:tcW w:w="3974" w:type="dxa"/>
          </w:tcPr>
          <w:p w:rsidR="003915D5" w:rsidRPr="00775F0C" w:rsidRDefault="003915D5" w:rsidP="004F4C46">
            <w:pPr>
              <w:spacing w:after="40" w:line="240" w:lineRule="auto"/>
              <w:jc w:val="left"/>
              <w:rPr>
                <w:rFonts w:cs="Times New Roman"/>
                <w:i/>
                <w:sz w:val="21"/>
                <w:szCs w:val="21"/>
              </w:rPr>
            </w:pPr>
            <w:r w:rsidRPr="00775F0C">
              <w:rPr>
                <w:rFonts w:cs="Times New Roman"/>
                <w:sz w:val="21"/>
                <w:szCs w:val="21"/>
              </w:rPr>
              <w:t xml:space="preserve">Ocena zgodności i wysokości wydatkowania środków finansowych </w:t>
            </w:r>
            <w:r w:rsidRPr="00775F0C">
              <w:rPr>
                <w:rFonts w:cs="Times New Roman"/>
                <w:sz w:val="21"/>
                <w:szCs w:val="21"/>
              </w:rPr>
              <w:br/>
              <w:t>z przyznanego budżetu na poszczególne zadania.</w:t>
            </w:r>
          </w:p>
        </w:tc>
      </w:tr>
    </w:tbl>
    <w:p w:rsidR="003915D5" w:rsidRDefault="003915D5"/>
    <w:sectPr w:rsidR="003915D5" w:rsidSect="00775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28" w:rsidRDefault="007A6228" w:rsidP="00826797">
      <w:pPr>
        <w:spacing w:line="240" w:lineRule="auto"/>
      </w:pPr>
      <w:r>
        <w:separator/>
      </w:r>
    </w:p>
  </w:endnote>
  <w:endnote w:type="continuationSeparator" w:id="0">
    <w:p w:rsidR="007A6228" w:rsidRDefault="007A6228" w:rsidP="00826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38" w:rsidRDefault="002C7F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38" w:rsidRDefault="002C7F3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38" w:rsidRDefault="002C7F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28" w:rsidRDefault="007A6228" w:rsidP="00826797">
      <w:pPr>
        <w:spacing w:line="240" w:lineRule="auto"/>
      </w:pPr>
      <w:r>
        <w:separator/>
      </w:r>
    </w:p>
  </w:footnote>
  <w:footnote w:type="continuationSeparator" w:id="0">
    <w:p w:rsidR="007A6228" w:rsidRDefault="007A6228" w:rsidP="008267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38" w:rsidRDefault="002C7F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97" w:rsidRDefault="00826797" w:rsidP="0082679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495425" cy="1047750"/>
          <wp:effectExtent l="19050" t="0" r="9525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</w:t>
    </w:r>
    <w:r>
      <w:rPr>
        <w:noProof/>
        <w:lang w:eastAsia="pl-PL"/>
      </w:rPr>
      <w:drawing>
        <wp:inline distT="0" distB="0" distL="0" distR="0">
          <wp:extent cx="1057275" cy="1057275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  <w:sz w:val="16"/>
        <w:szCs w:val="16"/>
      </w:rPr>
      <w:t xml:space="preserve">     </w:t>
    </w:r>
    <w:r>
      <w:rPr>
        <w:noProof/>
        <w:lang w:eastAsia="pl-PL"/>
      </w:rPr>
      <w:drawing>
        <wp:inline distT="0" distB="0" distL="0" distR="0">
          <wp:extent cx="1047750" cy="1047750"/>
          <wp:effectExtent l="1905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sz w:val="16"/>
        <w:szCs w:val="16"/>
      </w:rPr>
      <w:t xml:space="preserve">           </w:t>
    </w:r>
    <w:r w:rsidR="002C7F38" w:rsidRPr="002C7F38">
      <w:rPr>
        <w:noProof/>
        <w:sz w:val="16"/>
        <w:szCs w:val="16"/>
      </w:rPr>
      <w:drawing>
        <wp:inline distT="0" distB="0" distL="0" distR="0">
          <wp:extent cx="1647825" cy="1068512"/>
          <wp:effectExtent l="0" t="0" r="0" b="0"/>
          <wp:docPr id="24" name="Obraz 1" descr="C:\Users\Użytkownik\Pictures\prow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Pictures\prow2014-202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162" cy="10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</w:t>
    </w:r>
    <w:r w:rsidRPr="00B759EC">
      <w:rPr>
        <w:noProof/>
        <w:sz w:val="16"/>
        <w:szCs w:val="16"/>
      </w:rPr>
      <w:t>Dofinansowa</w:t>
    </w:r>
    <w:r>
      <w:rPr>
        <w:noProof/>
        <w:sz w:val="16"/>
        <w:szCs w:val="16"/>
      </w:rPr>
      <w:t xml:space="preserve">no z Europejskiego Funduszu na </w:t>
    </w:r>
    <w:r w:rsidRPr="00B759EC">
      <w:rPr>
        <w:noProof/>
        <w:sz w:val="16"/>
        <w:szCs w:val="16"/>
      </w:rPr>
      <w:t>Rzecz Rozwoju Obszarów Wiejskich. Europa Inwestująca  w Obszary Wiejskie.</w:t>
    </w:r>
    <w:r>
      <w:rPr>
        <w:noProof/>
        <w:sz w:val="16"/>
        <w:szCs w:val="16"/>
      </w:rPr>
      <w:t xml:space="preserve"> </w:t>
    </w:r>
    <w:r w:rsidRPr="00B759EC">
      <w:rPr>
        <w:noProof/>
        <w:sz w:val="16"/>
        <w:szCs w:val="16"/>
      </w:rPr>
      <w:t>Działanie</w:t>
    </w:r>
    <w:r>
      <w:rPr>
        <w:noProof/>
        <w:sz w:val="16"/>
        <w:szCs w:val="16"/>
      </w:rPr>
      <w:t xml:space="preserve"> </w:t>
    </w:r>
    <w:r w:rsidRPr="00B759EC">
      <w:rPr>
        <w:noProof/>
        <w:sz w:val="16"/>
        <w:szCs w:val="16"/>
      </w:rPr>
      <w:t>„</w:t>
    </w:r>
    <w:r>
      <w:rPr>
        <w:noProof/>
        <w:sz w:val="16"/>
        <w:szCs w:val="16"/>
      </w:rPr>
      <w:t>Wsparcie przygptowawcze” w ramach programu LEADER objętego PROW 2014-2020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38" w:rsidRDefault="002C7F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D43"/>
    <w:multiLevelType w:val="hybridMultilevel"/>
    <w:tmpl w:val="28D0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1FB7"/>
    <w:multiLevelType w:val="multilevel"/>
    <w:tmpl w:val="2B803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2">
    <w:nsid w:val="5AAD7231"/>
    <w:multiLevelType w:val="hybridMultilevel"/>
    <w:tmpl w:val="00E23206"/>
    <w:lvl w:ilvl="0" w:tplc="C340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5D5"/>
    <w:rsid w:val="00021D59"/>
    <w:rsid w:val="00051AB2"/>
    <w:rsid w:val="000F70FE"/>
    <w:rsid w:val="0018636E"/>
    <w:rsid w:val="002C7F38"/>
    <w:rsid w:val="0031267C"/>
    <w:rsid w:val="00325D1A"/>
    <w:rsid w:val="003318C9"/>
    <w:rsid w:val="00345EBD"/>
    <w:rsid w:val="003915D5"/>
    <w:rsid w:val="003C78A1"/>
    <w:rsid w:val="004F4C46"/>
    <w:rsid w:val="00653FF1"/>
    <w:rsid w:val="006A06DB"/>
    <w:rsid w:val="006F7DD8"/>
    <w:rsid w:val="00775F0C"/>
    <w:rsid w:val="007A6228"/>
    <w:rsid w:val="007C7EF6"/>
    <w:rsid w:val="007D4D2F"/>
    <w:rsid w:val="008009A6"/>
    <w:rsid w:val="00813FA8"/>
    <w:rsid w:val="00826797"/>
    <w:rsid w:val="00871D29"/>
    <w:rsid w:val="008E7DE5"/>
    <w:rsid w:val="009C5D9D"/>
    <w:rsid w:val="00A05620"/>
    <w:rsid w:val="00A11E44"/>
    <w:rsid w:val="00A845B6"/>
    <w:rsid w:val="00AD668B"/>
    <w:rsid w:val="00AE7CDB"/>
    <w:rsid w:val="00B13B6A"/>
    <w:rsid w:val="00B43998"/>
    <w:rsid w:val="00CA4A0E"/>
    <w:rsid w:val="00DC2F73"/>
    <w:rsid w:val="00DC3991"/>
    <w:rsid w:val="00F01C4B"/>
    <w:rsid w:val="00F34DE2"/>
    <w:rsid w:val="00F46890"/>
    <w:rsid w:val="00F875B8"/>
    <w:rsid w:val="00FB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5D5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7CD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45EBD"/>
    <w:pPr>
      <w:keepNext/>
      <w:keepLines/>
      <w:spacing w:after="100" w:afterAutospacing="1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5EBD"/>
    <w:pPr>
      <w:keepNext/>
      <w:spacing w:before="240" w:after="60" w:line="276" w:lineRule="auto"/>
      <w:jc w:val="left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EB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7CD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45EB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4F4C46"/>
    <w:pPr>
      <w:keepNext/>
      <w:spacing w:line="240" w:lineRule="auto"/>
      <w:jc w:val="center"/>
    </w:pPr>
    <w:rPr>
      <w:b/>
      <w:iCs/>
      <w:sz w:val="22"/>
    </w:rPr>
  </w:style>
  <w:style w:type="paragraph" w:customStyle="1" w:styleId="rdo">
    <w:name w:val="Żródło"/>
    <w:basedOn w:val="Nagwek2"/>
    <w:link w:val="rdoZnak"/>
    <w:autoRedefine/>
    <w:qFormat/>
    <w:rsid w:val="00813FA8"/>
    <w:pPr>
      <w:spacing w:before="120" w:line="240" w:lineRule="auto"/>
      <w:jc w:val="center"/>
    </w:pPr>
    <w:rPr>
      <w:b w:val="0"/>
      <w:bCs w:val="0"/>
      <w:i/>
      <w:sz w:val="20"/>
      <w:szCs w:val="20"/>
    </w:rPr>
  </w:style>
  <w:style w:type="character" w:customStyle="1" w:styleId="rdoZnak">
    <w:name w:val="Żródło Znak"/>
    <w:basedOn w:val="Nagwek2Znak"/>
    <w:link w:val="rdo"/>
    <w:rsid w:val="00813FA8"/>
    <w:rPr>
      <w:rFonts w:ascii="Times New Roman" w:eastAsiaTheme="majorEastAsia" w:hAnsi="Times New Roman" w:cstheme="majorBidi"/>
      <w:b w:val="0"/>
      <w:bCs w:val="0"/>
      <w:i/>
      <w:iCs w:val="0"/>
      <w:sz w:val="20"/>
      <w:szCs w:val="20"/>
    </w:rPr>
  </w:style>
  <w:style w:type="paragraph" w:styleId="Tytu">
    <w:name w:val="Title"/>
    <w:aliases w:val="nagłówek 3"/>
    <w:basedOn w:val="Normalny"/>
    <w:next w:val="Normalny"/>
    <w:link w:val="TytuZnak"/>
    <w:autoRedefine/>
    <w:uiPriority w:val="10"/>
    <w:qFormat/>
    <w:rsid w:val="00F01C4B"/>
    <w:pPr>
      <w:spacing w:before="240" w:after="60" w:line="276" w:lineRule="auto"/>
      <w:jc w:val="center"/>
      <w:outlineLvl w:val="0"/>
    </w:pPr>
    <w:rPr>
      <w:rFonts w:eastAsiaTheme="majorEastAsia" w:cstheme="majorBidi"/>
      <w:b/>
      <w:bCs/>
      <w:kern w:val="28"/>
      <w:sz w:val="22"/>
      <w:szCs w:val="32"/>
    </w:rPr>
  </w:style>
  <w:style w:type="character" w:customStyle="1" w:styleId="TytuZnak">
    <w:name w:val="Tytuł Znak"/>
    <w:aliases w:val="nagłówek 3 Znak"/>
    <w:basedOn w:val="Domylnaczcionkaakapitu"/>
    <w:link w:val="Tytu"/>
    <w:uiPriority w:val="10"/>
    <w:rsid w:val="00F01C4B"/>
    <w:rPr>
      <w:rFonts w:ascii="Times New Roman" w:eastAsiaTheme="majorEastAsia" w:hAnsi="Times New Roman" w:cstheme="majorBidi"/>
      <w:b/>
      <w:bCs/>
      <w:kern w:val="28"/>
      <w:sz w:val="24"/>
      <w:szCs w:val="32"/>
    </w:rPr>
  </w:style>
  <w:style w:type="table" w:styleId="Tabela-Siatka">
    <w:name w:val="Table Grid"/>
    <w:basedOn w:val="Standardowy"/>
    <w:uiPriority w:val="59"/>
    <w:rsid w:val="003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15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7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9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267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679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BE57-AAB5-43A8-8485-8D16BF77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Kaleta</dc:creator>
  <cp:keywords/>
  <dc:description/>
  <cp:lastModifiedBy>Użytkownik</cp:lastModifiedBy>
  <cp:revision>5</cp:revision>
  <dcterms:created xsi:type="dcterms:W3CDTF">2015-11-04T12:37:00Z</dcterms:created>
  <dcterms:modified xsi:type="dcterms:W3CDTF">2015-11-24T18:59:00Z</dcterms:modified>
</cp:coreProperties>
</file>